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141 vom 17. August 1990</w:t>
      </w:r>
    </w:p>
    <w:p>
      <w:r>
        <w:t>Bundesgericht (BGE), 1990-08-17, DE</w:t>
      </w:r>
    </w:p>
    <w:p>
      <w:r>
        <w:rPr>
          <w:b/>
        </w:rPr>
        <w:t xml:space="preserve">Quelle: </w:t>
      </w:r>
      <w:r>
        <w:t>https://mcp.opencaselaw.ch/entscheid/bge_116 IB 141</w:t>
      </w:r>
    </w:p>
    <w:p>
      <w:r>
        <w:t>FR: BGE 116 IB 141 du 17 août 1990</w:t>
      </w:r>
    </w:p>
    <w:p>
      <w:r>
        <w:t>IT: BGE 116 IB 141 del 17 agosto 1990</w:t>
      </w:r>
    </w:p>
    <w:p>
      <w:pPr>
        <w:pStyle w:val="Heading2"/>
      </w:pPr>
      <w:r>
        <w:t>Regeste</w:t>
      </w:r>
    </w:p>
    <w:p>
      <w:r>
        <w:t>Regeste Rechtzeitigkeit der Einsprache im kombinierten Enteignungs- und Plangenehmigungsverfahren für Eisenbahnbauten (Art. 25 V über die Planvorlagen für Eisenbahnbauten). Ob eine Einsprache im kombinierten Verfahren rechtzeitig erhoben worden sei, beurteilt sich nach Art. 35 und 39 f. des Bundesgesetzes über die Enteignung; erfolgt die Einsprache verspätet, so verwirkt der Einsprecher das Recht zur Teilnahme am Genehmigungsverfahren (E. 1). In der Einräumung der Gelegenheit, die Akten während einer bestimmten Zeit auch an einem anderen als am gesetzlich vorgesehenen Auflage-Ort einsehen zu können, liegt keine vertrauensbegründende Zusicherung, dass innert dieser Frist auch die Möglichkeit der Rechtswahrung bestehe. Dies gilt insbesondere dann, wenn sich aus dem Gesetz ohne weiteres ergibt, dass es sich bei der zur Akteneinsicht angesetzten Frist nicht um die Einsprachefrist handeln kann (E. 2).</w:t>
      </w:r>
    </w:p>
    <w:p>
      <w:pPr>
        <w:pStyle w:val="Heading2"/>
      </w:pPr>
      <w:r>
        <w:t>Erwägungen</w:t>
      </w:r>
    </w:p>
    <w:p>
      <w:r>
        <w:rPr>
          <w:b/>
        </w:rPr>
        <w:t>E. 1</w:t>
      </w:r>
    </w:p>
    <w:p>
      <w:r>
        <w:t>Nach Art. 20 lit. c der am 24. November 1984 revidierten Verordnung über die Planvorlagen für Eisenbahnbauten vom 23. Dezember 1932 (PVV-EB; SR 742.142.1) wird bei Vorhaben der Bahn, für die ein Enteignungsverfahren nötig ist und gleichzeitig mit dem Plangenehmigungsverfahren durchgeführt werden kann, das sog. kombinierte Verfahren angeordnet. In diesem Fall richten sich öffentliche Auflage und Einsprachen grundsätzlich BGE 116 Ib 141 S. 144 nach den Bestimmungen des Enteignungsgesetzes (Art. 25 Abs. 1 PVV-EB). Insbesondere schliesst, wie in Art. 25 Abs. 4 PVV-EB ausdrücklich festgehalten wird, der Verzicht auf Einsprache jegliche spätere Mitwirkung am Verfahren aus. Einsprachen gegen die Enteignung und Begehren nach den Artikeln 7-10 des Bundesgesetzes über die Enteignung (EntG), wie sie die gesamtschweizerischen Natur-, Heimat- und Umweltschutzorganisationen aufgrund von Art. 12 Abs. 3 des Bundesgesetzes über den Natur- und Heimatschutz und Art. 55 des Bundesgesetzes über den Umweltschutz erheben können, sind gemäss Art. 35 EntG innert der Eingabe- bzw. Auflagefrist beim Gemeinderat einzureichen. Nach Ablauf der Eingabefrist können Einsprachen gegen die Enteignung nur noch geltend gemacht werden, wenn die Ausführung des Werkes noch nicht in Angriff genommen worden ist und die Einhaltung der Frist wegen unverschuldeter Hindernisse nicht möglich war ( Art. 39 Abs. 1 EntG ). Die nachträgliche Einsprache kann innert dreissig Tagen nach Wegfall des Hindernisses beim Präsidenten der Schätzungskommission eingereicht werden ( Art. 39 Abs. 2 EntG ). Können Begehren zur Wahrung der öffentlichen Interessen im Sinne von Art. 7 Abs. 3 EntG wegen unverschuldeter Hindernisse innert der Eingabefrist nicht geltend gemacht werden, so dürfen sie nach Art. 40 EntG noch bis zum Schlusse der Einigungsverhandlung angebracht werden ( Art. 40 EntG ). Diese Fristen zur Erhebung von Einsprachen im engeren und weiteren Sinne sind nach ständiger Rechtsprechung des Bundesgerichtes Verwirkungsfristen (vgl. etwa BGE 111 Ib 284 und dort zitierte Entscheide). Gemäss dieser gesetzlichen Ordnung hätten die als Einsprecher auftretenden Organisationen ihre Begehren während der Projektauflage, die in den Gemeinden Klosters, Susch und Lavin vom 23. November bis 22. Dezember 1987 erfolgte, bei einer der Gemeinden anbringen oder sie als nachträgliche Begehren im Sinne von Art. 39 und 40 EntG direkt dem Schätzungskommissions-Präsidenten zukommen lassen sollen. Dass die Einsprachen beim Bundesamt für Verkehr und damit bei der falschen Stelle eingegangen sind, spielt allerdings für deren Zulässigkeit keine Rolle, gelten doch die innert Frist einer unzuständigen Behörde unterbreiteten Begehren als rechtzeitig ( Art. 21 Abs. 2 VwVG ) und hätte das Bundesamt die bei ihm eingereichten Rechtsschriften aufgrund von Art. 8 Abs. 1 VwVG der zuständigen Instanz überweisen sollen. Erheblich ist dagegen, dass die Einsprachen erst rund einen BGE 116 Ib 141 S. 145 Monat nach Ablauf der Eingabefrist erhoben worden sind und daher nur unter den in Art. 39 und 40 EntG umschriebenen Voraussetzungen als zulässig gelten können. Über diese Frage der Rechtzeitigkeit der Einsprachen, die zu prüfen der erstinstanzlich zuständige Schätzungskommissions-Präsident keine Gelegenheit erhielt, ist nunmehr im Verwaltungsgerichtsverfahren zu befinden.</w:t>
      </w:r>
    </w:p>
    <w:p>
      <w:r>
        <w:rPr>
          <w:b/>
        </w:rPr>
        <w:t>E. 2</w:t>
      </w:r>
    </w:p>
    <w:p>
      <w:r>
        <w:t>Nach den Artikeln 39 und 40 EntG können Einsprachen und Planänderungsbegehren nur dann nach Ablauf der Eingabefrist noch erhoben werden, wenn die Einhaltung der Frist "wegen unverschuldeter Hindernisse" nicht möglich war. Es stellt sich daher hier die Frage, ob das Schreiben des Bundesamtes für Verkehr vom 12. November 1987 als solches Hindernis gelten könne, mit anderen Worten, ob die Beschwerdeführer nach Treu und Glauben annehmen durften, in diesem sei ihnen zugesichert worden, dass sie von ihrer Einsprachemöglichkeit ungeachtet der gesetzlichen Frist jedenfalls bis Ende Januar 1988 Gebrauch machen könnten. Eine solche Zusicherung ist jedoch nicht abgegeben worden. Im fraglichen Schreiben ist von Einsprachen nicht die Rede und wird - unter Hinweis auf die öffentliche Planauflage in den Gemeinden - den Adressaten lediglich Gelegenheit geboten, die Projektunterlagen während einer gewissen Zeit direkt beim Bundesamt für Verkehr einzusehen. Das Bundesgericht hat unlängst in einem ähnlichen Fall festgestellt, dass die Ansetzung einer Frist zur Akteneinsicht, selbst wenn diese im Amtsblatt publiziert werde, die ordentliche Rechtsmittelfrist nicht zu verlängern vermöge (unveröffentlichtes Urteil vom 18. Mai 1990 i.S. Gemeinde Bösingen). Demnach kann auch im Schreiben des Bundesamtes für Verkehr vom 12. November 1987 keine Zusicherung auf die Möglichkeit der Rechtswahrung bis Ende Januar 1988 gesehen werden. Im übrigen hätten die Beschwerdeführerinnen allen Anlass gehabt, sich aufgrund des im Schreiben enthaltenen Hinweises auf die öffentliche Planauflage beim Bundesamt danach zu erkundigen, wann diese stattfinde und wie es sich mit der Eingabefrist verhalte. Selbst wenn aber hier die in der Praxis entwickelten Regeln über die unrichtige Rechtsmittelbelehrung anzuwenden wären, wäre damit den Beschwerdeführerinnen nicht geholfen. Nach ständiger bundesgerichtlicher Rechtsprechung haben falsche Auskünfte von Behörden nur dann eine vom materiellen Recht abweichende Behandlung des Rechtsuchenden zur Folge, wenn dieser die Unrichtigkeit der Auskunft nicht ohne weiteres erkennen konnte ( BGE 115 Ib 18 ff. E. 4, BGE 114 Ia 106 ff. und dort zitierte Entscheide). So BGE 116 Ib 141 S. 146 geniesst der Private keinen Vertrauensschutz, wenn er die Unrichtigkeit der Rechtsmittelbelehrung kennt oder sie bei genügender Aufmerksamkeit hätte kennen müssen, insbesondere wenn er oder sein Anwalt die Mängel der Belehrung schon allein durch Konsultierung des massgebenden Gesetzestextes hätte ersehen können ( BGE 112 Ia 310 , BGE 106 Ia 16 ff. E. 3). Nun wird, wie bereits erwähnt, in Art. 25 Abs. 1 und 4 PVV-EB klar festgehalten, dass sich die öffentliche Auflage und die Einsprachen im kombinierten Plangenehmigungsverfahren nach den Bestimmungen des Enteignungsgesetzes richten und dass der Verzicht auf Einsprache jegliche spätere Mitwirkung im Verfahren ausschliesst. Ein Blick auf diese Vorschrift und das Enteignungsgesetz hätte genügt, um zu erkennen, dass es sich bei der vom Bundesamt für Verkehr genannten Frist nicht um die gesetzliche Einsprachefrist handeln konnte. Zwar wird im Brief vom 12. November 1987 nicht erwähnt, welche Art von Verfahren eröffnet worden sei, doch wäre den Organisationen auch in dieser Hinsicht eine Rückfrage zuzumuten gewesen. Selbst wenn diese aber von der falschen Annahme ausgegangen wären, es sei ein ordentliches Verfahren im Sinne von Art. 20 lit. b und 22 ff. PVV-EB eingeleitet worden, so hätten sie der Verordnung ebenfalls ohne weiteres entnehmen können und müssen, dass auch im ordentlichen Plangenehmigungsverfahren die Stellungnahmen zum Projekt und Planänderungsbegehren während der dreissigtägigen Auflagefrist einzureichen sind (Art. 22b Abs. 1). Die Beschwerdeführer hätten sich deshalb nicht auf das fragliche Schreiben als Vertrauensgrundlage berufen können. Dieses kann deshalb auch nicht als "Hindernis" im Sinne der Artikel 39 und 40 EntG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